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D3C" w:rsidRPr="00457D3C" w:rsidRDefault="00457D3C" w:rsidP="00457D3C">
      <w:pPr>
        <w:jc w:val="center"/>
        <w:rPr>
          <w:b/>
          <w:sz w:val="36"/>
          <w:szCs w:val="36"/>
        </w:rPr>
      </w:pPr>
      <w:r w:rsidRPr="00457D3C">
        <w:rPr>
          <w:b/>
          <w:sz w:val="36"/>
          <w:szCs w:val="36"/>
        </w:rPr>
        <w:t>Technická dokumentace</w:t>
      </w:r>
    </w:p>
    <w:p w:rsidR="006303F8" w:rsidRDefault="00457D3C" w:rsidP="006303F8">
      <w:r>
        <w:t xml:space="preserve">Tovární označení výrobku: </w:t>
      </w:r>
      <w:r w:rsidRPr="00227643">
        <w:rPr>
          <w:b/>
        </w:rPr>
        <w:t>TCD 002</w:t>
      </w:r>
    </w:p>
    <w:p w:rsidR="00227643" w:rsidRDefault="00227643" w:rsidP="006303F8">
      <w:r>
        <w:t xml:space="preserve">Stručný popis zařízení: </w:t>
      </w:r>
      <w:proofErr w:type="spellStart"/>
      <w:r w:rsidRPr="00227643">
        <w:rPr>
          <w:b/>
        </w:rPr>
        <w:t>Plnitelné</w:t>
      </w:r>
      <w:proofErr w:type="spellEnd"/>
      <w:r w:rsidRPr="00227643">
        <w:rPr>
          <w:b/>
        </w:rPr>
        <w:t xml:space="preserve"> jednorázové </w:t>
      </w:r>
      <w:proofErr w:type="spellStart"/>
      <w:r w:rsidRPr="00227643">
        <w:rPr>
          <w:b/>
        </w:rPr>
        <w:t>vaporizační</w:t>
      </w:r>
      <w:proofErr w:type="spellEnd"/>
      <w:r w:rsidRPr="00227643">
        <w:rPr>
          <w:b/>
        </w:rPr>
        <w:t xml:space="preserve"> pero</w:t>
      </w:r>
    </w:p>
    <w:p w:rsidR="00B90AF7" w:rsidRDefault="00457D3C" w:rsidP="006303F8">
      <w:r>
        <w:t xml:space="preserve">Dodavatel: </w:t>
      </w:r>
      <w:proofErr w:type="spellStart"/>
      <w:r w:rsidR="00B90AF7" w:rsidRPr="00B90AF7">
        <w:rPr>
          <w:bCs/>
        </w:rPr>
        <w:t>Brands</w:t>
      </w:r>
      <w:proofErr w:type="spellEnd"/>
      <w:r w:rsidR="00B90AF7" w:rsidRPr="00B90AF7">
        <w:rPr>
          <w:bCs/>
        </w:rPr>
        <w:t xml:space="preserve"> </w:t>
      </w:r>
      <w:proofErr w:type="spellStart"/>
      <w:r w:rsidR="00B90AF7" w:rsidRPr="00B90AF7">
        <w:rPr>
          <w:bCs/>
        </w:rPr>
        <w:t>of</w:t>
      </w:r>
      <w:proofErr w:type="spellEnd"/>
      <w:r w:rsidR="00B90AF7" w:rsidRPr="00B90AF7">
        <w:rPr>
          <w:bCs/>
        </w:rPr>
        <w:t xml:space="preserve"> </w:t>
      </w:r>
      <w:proofErr w:type="spellStart"/>
      <w:r w:rsidR="00B90AF7" w:rsidRPr="00B90AF7">
        <w:rPr>
          <w:bCs/>
        </w:rPr>
        <w:t>Hemp</w:t>
      </w:r>
      <w:proofErr w:type="spellEnd"/>
      <w:r w:rsidR="00B90AF7" w:rsidRPr="00B90AF7">
        <w:rPr>
          <w:bCs/>
        </w:rPr>
        <w:t xml:space="preserve"> s.r.o., Žižkova 708, 261 01 Příbram, </w:t>
      </w:r>
      <w:proofErr w:type="spellStart"/>
      <w:r w:rsidR="00B90AF7" w:rsidRPr="00B90AF7">
        <w:rPr>
          <w:bCs/>
        </w:rPr>
        <w:t>Czech</w:t>
      </w:r>
      <w:proofErr w:type="spellEnd"/>
      <w:r w:rsidR="00B90AF7" w:rsidRPr="00B90AF7">
        <w:rPr>
          <w:bCs/>
        </w:rPr>
        <w:t xml:space="preserve"> </w:t>
      </w:r>
      <w:proofErr w:type="spellStart"/>
      <w:r w:rsidR="00B90AF7" w:rsidRPr="00B90AF7">
        <w:rPr>
          <w:bCs/>
        </w:rPr>
        <w:t>Republic</w:t>
      </w:r>
      <w:proofErr w:type="spellEnd"/>
      <w:r w:rsidR="00B90AF7">
        <w:t xml:space="preserve"> </w:t>
      </w:r>
      <w:r w:rsidR="00B90AF7" w:rsidRPr="00B90AF7">
        <w:rPr>
          <w:bCs/>
        </w:rPr>
        <w:t>IN: 19087608</w:t>
      </w:r>
    </w:p>
    <w:p w:rsidR="008551EC" w:rsidRDefault="00457D3C" w:rsidP="00EA356F">
      <w:pPr>
        <w:tabs>
          <w:tab w:val="left" w:pos="851"/>
        </w:tabs>
        <w:spacing w:after="0"/>
      </w:pPr>
      <w:r>
        <w:t xml:space="preserve">Výrobce: </w:t>
      </w:r>
      <w:r w:rsidR="008551EC">
        <w:tab/>
      </w:r>
      <w:proofErr w:type="spellStart"/>
      <w:r w:rsidR="009C58E0">
        <w:t>Taicang</w:t>
      </w:r>
      <w:proofErr w:type="spellEnd"/>
      <w:r w:rsidR="009C58E0">
        <w:t xml:space="preserve"> Technology Co., Limited</w:t>
      </w:r>
      <w:r w:rsidR="008551EC">
        <w:t xml:space="preserve">, </w:t>
      </w:r>
      <w:proofErr w:type="spellStart"/>
      <w:r w:rsidR="009C58E0">
        <w:t>West</w:t>
      </w:r>
      <w:proofErr w:type="spellEnd"/>
      <w:r w:rsidR="009C58E0">
        <w:t xml:space="preserve"> </w:t>
      </w:r>
      <w:proofErr w:type="spellStart"/>
      <w:r w:rsidR="009C58E0">
        <w:t>Third</w:t>
      </w:r>
      <w:proofErr w:type="spellEnd"/>
      <w:r w:rsidR="009C58E0">
        <w:t xml:space="preserve"> </w:t>
      </w:r>
      <w:proofErr w:type="spellStart"/>
      <w:r w:rsidR="009C58E0">
        <w:t>Block</w:t>
      </w:r>
      <w:proofErr w:type="spellEnd"/>
      <w:r w:rsidR="009C58E0">
        <w:t xml:space="preserve">, </w:t>
      </w:r>
      <w:proofErr w:type="spellStart"/>
      <w:r w:rsidR="009C58E0">
        <w:t>Laobing</w:t>
      </w:r>
      <w:proofErr w:type="spellEnd"/>
      <w:r w:rsidR="009C58E0">
        <w:t xml:space="preserve"> </w:t>
      </w:r>
      <w:proofErr w:type="spellStart"/>
      <w:r w:rsidR="009C58E0">
        <w:t>Building</w:t>
      </w:r>
      <w:proofErr w:type="spellEnd"/>
      <w:r w:rsidR="009C58E0">
        <w:t xml:space="preserve">, No. 3012 </w:t>
      </w:r>
      <w:proofErr w:type="spellStart"/>
      <w:r w:rsidR="008551EC">
        <w:t>Xingye</w:t>
      </w:r>
      <w:proofErr w:type="spellEnd"/>
      <w:r w:rsidR="008551EC">
        <w:t xml:space="preserve"> </w:t>
      </w:r>
      <w:proofErr w:type="spellStart"/>
      <w:r w:rsidR="008551EC">
        <w:t>Road</w:t>
      </w:r>
      <w:proofErr w:type="spellEnd"/>
      <w:r w:rsidR="008551EC">
        <w:t>,</w:t>
      </w:r>
    </w:p>
    <w:p w:rsidR="00457D3C" w:rsidRDefault="008551EC" w:rsidP="00EA356F">
      <w:pPr>
        <w:tabs>
          <w:tab w:val="left" w:pos="851"/>
        </w:tabs>
        <w:spacing w:after="0"/>
      </w:pPr>
      <w:r>
        <w:tab/>
      </w:r>
      <w:proofErr w:type="spellStart"/>
      <w:r w:rsidR="009C58E0">
        <w:t>Bao’an</w:t>
      </w:r>
      <w:proofErr w:type="spellEnd"/>
      <w:r w:rsidR="009C58E0">
        <w:t xml:space="preserve"> </w:t>
      </w:r>
      <w:proofErr w:type="spellStart"/>
      <w:r w:rsidR="009C58E0">
        <w:t>District</w:t>
      </w:r>
      <w:proofErr w:type="spellEnd"/>
      <w:r w:rsidR="009C58E0">
        <w:t xml:space="preserve">, </w:t>
      </w:r>
      <w:proofErr w:type="spellStart"/>
      <w:r w:rsidR="009C58E0">
        <w:t>Shenzhen</w:t>
      </w:r>
      <w:proofErr w:type="spellEnd"/>
      <w:r w:rsidR="009C58E0">
        <w:t>, China.</w:t>
      </w:r>
    </w:p>
    <w:p w:rsidR="00227643" w:rsidRDefault="00227643" w:rsidP="00227643">
      <w:pPr>
        <w:pStyle w:val="Odstavecseseznamem"/>
        <w:spacing w:after="0"/>
      </w:pPr>
    </w:p>
    <w:p w:rsidR="00B97D19" w:rsidRDefault="00B97D19" w:rsidP="006303F8">
      <w:r>
        <w:t>Obr. 1 – Jednotlivé komponenty (</w:t>
      </w:r>
      <w:r w:rsidRPr="00DA794A">
        <w:t>Náustek+tělo+silikonový plášť</w:t>
      </w:r>
      <w:r>
        <w:t>)</w:t>
      </w:r>
    </w:p>
    <w:p w:rsidR="00D80D9A" w:rsidRDefault="00DA794A" w:rsidP="006303F8">
      <w:r w:rsidRPr="00DA794A">
        <w:rPr>
          <w:noProof/>
        </w:rPr>
        <w:drawing>
          <wp:inline distT="0" distB="0" distL="114300" distR="114300">
            <wp:extent cx="3342005" cy="2519680"/>
            <wp:effectExtent l="19050" t="19050" r="10795"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3342005" cy="2519680"/>
                    </a:xfrm>
                    <a:prstGeom prst="rect">
                      <a:avLst/>
                    </a:prstGeom>
                    <a:noFill/>
                    <a:ln w="3175">
                      <a:solidFill>
                        <a:schemeClr val="tx1"/>
                      </a:solidFill>
                    </a:ln>
                  </pic:spPr>
                </pic:pic>
              </a:graphicData>
            </a:graphic>
          </wp:inline>
        </w:drawing>
      </w:r>
    </w:p>
    <w:p w:rsidR="00DA794A" w:rsidRPr="00AC2293" w:rsidRDefault="00AC2293" w:rsidP="00AC2293">
      <w:r>
        <w:t>TECHNICKÁ SPECIFIKACE:</w:t>
      </w:r>
    </w:p>
    <w:tbl>
      <w:tblPr>
        <w:tblStyle w:val="Mkatabulky"/>
        <w:tblW w:w="0" w:type="auto"/>
        <w:tblLook w:val="04A0"/>
      </w:tblPr>
      <w:tblGrid>
        <w:gridCol w:w="4223"/>
        <w:gridCol w:w="4223"/>
      </w:tblGrid>
      <w:tr w:rsidR="00DA794A" w:rsidTr="002867C6">
        <w:tc>
          <w:tcPr>
            <w:tcW w:w="4223" w:type="dxa"/>
            <w:vAlign w:val="center"/>
          </w:tcPr>
          <w:p w:rsidR="00DA794A" w:rsidRPr="005E05A4" w:rsidRDefault="00DA794A" w:rsidP="002867C6">
            <w:pPr>
              <w:spacing w:line="220" w:lineRule="atLeast"/>
              <w:rPr>
                <w:rFonts w:ascii="Arial" w:hAnsi="Arial" w:cs="Arial"/>
              </w:rPr>
            </w:pPr>
            <w:r>
              <w:rPr>
                <w:rFonts w:ascii="Arial" w:hAnsi="Arial" w:cs="Arial"/>
              </w:rPr>
              <w:t>K</w:t>
            </w:r>
            <w:r w:rsidRPr="005E05A4">
              <w:rPr>
                <w:rFonts w:ascii="Arial" w:hAnsi="Arial" w:cs="Arial"/>
              </w:rPr>
              <w:t>apacita</w:t>
            </w:r>
          </w:p>
        </w:tc>
        <w:tc>
          <w:tcPr>
            <w:tcW w:w="4223" w:type="dxa"/>
            <w:vAlign w:val="center"/>
          </w:tcPr>
          <w:p w:rsidR="00DA794A" w:rsidRPr="005E05A4" w:rsidRDefault="00DA794A" w:rsidP="002867C6">
            <w:pPr>
              <w:rPr>
                <w:rFonts w:ascii="Arial" w:hAnsi="Arial" w:cs="Arial"/>
                <w:color w:val="000000"/>
              </w:rPr>
            </w:pPr>
            <w:r>
              <w:rPr>
                <w:rFonts w:ascii="Arial" w:hAnsi="Arial" w:cs="Arial"/>
                <w:color w:val="000000"/>
              </w:rPr>
              <w:t>1</w:t>
            </w:r>
            <w:r w:rsidRPr="005E05A4">
              <w:rPr>
                <w:rFonts w:ascii="Arial" w:hAnsi="Arial" w:cs="Arial"/>
                <w:color w:val="000000"/>
              </w:rPr>
              <w:t xml:space="preserve"> ml</w:t>
            </w:r>
          </w:p>
        </w:tc>
      </w:tr>
      <w:tr w:rsidR="00DA794A" w:rsidTr="002867C6">
        <w:tc>
          <w:tcPr>
            <w:tcW w:w="4223" w:type="dxa"/>
            <w:vAlign w:val="center"/>
          </w:tcPr>
          <w:p w:rsidR="00DA794A" w:rsidRPr="005E05A4" w:rsidRDefault="00DA794A" w:rsidP="002867C6">
            <w:pPr>
              <w:spacing w:line="220" w:lineRule="atLeast"/>
              <w:rPr>
                <w:rFonts w:ascii="Arial" w:hAnsi="Arial" w:cs="Arial"/>
                <w:color w:val="FF0000"/>
              </w:rPr>
            </w:pPr>
            <w:r w:rsidRPr="005E05A4">
              <w:rPr>
                <w:rFonts w:ascii="Arial" w:hAnsi="Arial" w:cs="Arial"/>
              </w:rPr>
              <w:t>Hmotnost</w:t>
            </w:r>
          </w:p>
        </w:tc>
        <w:tc>
          <w:tcPr>
            <w:tcW w:w="4223" w:type="dxa"/>
            <w:vAlign w:val="center"/>
          </w:tcPr>
          <w:p w:rsidR="00DA794A" w:rsidRPr="005E05A4" w:rsidRDefault="00DA794A" w:rsidP="002867C6">
            <w:pPr>
              <w:rPr>
                <w:rFonts w:ascii="Arial" w:hAnsi="Arial" w:cs="Arial"/>
                <w:color w:val="FF0000"/>
              </w:rPr>
            </w:pPr>
            <w:r w:rsidRPr="005E05A4">
              <w:rPr>
                <w:rFonts w:ascii="Arial" w:hAnsi="Arial" w:cs="Arial"/>
              </w:rPr>
              <w:t>18</w:t>
            </w:r>
            <w:r>
              <w:rPr>
                <w:rFonts w:ascii="Arial" w:hAnsi="Arial" w:cs="Arial"/>
              </w:rPr>
              <w:t xml:space="preserve"> </w:t>
            </w:r>
            <w:r w:rsidRPr="005E05A4">
              <w:rPr>
                <w:rFonts w:ascii="Arial" w:hAnsi="Arial" w:cs="Arial"/>
              </w:rPr>
              <w:t>g</w:t>
            </w:r>
          </w:p>
        </w:tc>
      </w:tr>
      <w:tr w:rsidR="00DA794A" w:rsidTr="002867C6">
        <w:tc>
          <w:tcPr>
            <w:tcW w:w="4223" w:type="dxa"/>
            <w:vAlign w:val="center"/>
          </w:tcPr>
          <w:p w:rsidR="00DA794A" w:rsidRPr="005E05A4" w:rsidRDefault="00DA794A" w:rsidP="002867C6">
            <w:pPr>
              <w:rPr>
                <w:rFonts w:ascii="Arial" w:hAnsi="Arial" w:cs="Arial"/>
                <w:color w:val="000000"/>
              </w:rPr>
            </w:pPr>
            <w:r w:rsidRPr="005E05A4">
              <w:rPr>
                <w:rFonts w:ascii="Arial" w:hAnsi="Arial" w:cs="Arial"/>
                <w:color w:val="000000"/>
              </w:rPr>
              <w:t>Od</w:t>
            </w:r>
            <w:r>
              <w:rPr>
                <w:rFonts w:ascii="Arial" w:hAnsi="Arial" w:cs="Arial"/>
                <w:color w:val="000000"/>
              </w:rPr>
              <w:t>por</w:t>
            </w:r>
          </w:p>
        </w:tc>
        <w:tc>
          <w:tcPr>
            <w:tcW w:w="4223" w:type="dxa"/>
            <w:vAlign w:val="center"/>
          </w:tcPr>
          <w:p w:rsidR="00DA794A" w:rsidRPr="005E05A4" w:rsidRDefault="00DA794A" w:rsidP="002867C6">
            <w:pPr>
              <w:rPr>
                <w:rFonts w:ascii="Arial" w:hAnsi="Arial" w:cs="Arial"/>
                <w:color w:val="000000"/>
              </w:rPr>
            </w:pPr>
            <w:r w:rsidRPr="005E05A4">
              <w:rPr>
                <w:rFonts w:ascii="Arial" w:hAnsi="Arial" w:cs="Arial"/>
                <w:color w:val="000000"/>
              </w:rPr>
              <w:t>1.4</w:t>
            </w:r>
            <w:r>
              <w:rPr>
                <w:rFonts w:ascii="Arial" w:hAnsi="Arial" w:cs="Arial"/>
                <w:color w:val="000000"/>
              </w:rPr>
              <w:t xml:space="preserve"> </w:t>
            </w:r>
            <w:proofErr w:type="spellStart"/>
            <w:r w:rsidRPr="005E05A4">
              <w:rPr>
                <w:rFonts w:ascii="Arial" w:hAnsi="Arial" w:cs="Arial"/>
                <w:color w:val="000000"/>
              </w:rPr>
              <w:t>omh</w:t>
            </w:r>
            <w:proofErr w:type="spellEnd"/>
          </w:p>
        </w:tc>
      </w:tr>
      <w:tr w:rsidR="00DA794A" w:rsidTr="002867C6">
        <w:tc>
          <w:tcPr>
            <w:tcW w:w="4223" w:type="dxa"/>
            <w:vAlign w:val="center"/>
          </w:tcPr>
          <w:p w:rsidR="00DA794A" w:rsidRPr="005E05A4" w:rsidRDefault="00DA794A" w:rsidP="002867C6">
            <w:pPr>
              <w:rPr>
                <w:rFonts w:ascii="Arial" w:hAnsi="Arial" w:cs="Arial"/>
                <w:color w:val="000000"/>
              </w:rPr>
            </w:pPr>
            <w:r w:rsidRPr="005E05A4">
              <w:rPr>
                <w:rFonts w:ascii="Arial" w:hAnsi="Arial" w:cs="Arial"/>
                <w:color w:val="000000"/>
              </w:rPr>
              <w:t>Vstupní otvor</w:t>
            </w:r>
          </w:p>
        </w:tc>
        <w:tc>
          <w:tcPr>
            <w:tcW w:w="4223" w:type="dxa"/>
            <w:vAlign w:val="center"/>
          </w:tcPr>
          <w:p w:rsidR="00DA794A" w:rsidRPr="005E05A4" w:rsidRDefault="00DA794A" w:rsidP="002867C6">
            <w:pPr>
              <w:rPr>
                <w:rFonts w:ascii="Arial" w:hAnsi="Arial" w:cs="Arial"/>
                <w:color w:val="000000"/>
              </w:rPr>
            </w:pPr>
            <w:r w:rsidRPr="005E05A4">
              <w:rPr>
                <w:rFonts w:ascii="Arial" w:hAnsi="Arial" w:cs="Arial"/>
                <w:color w:val="000000"/>
              </w:rPr>
              <w:t>4*1,6 mm</w:t>
            </w:r>
          </w:p>
        </w:tc>
      </w:tr>
      <w:tr w:rsidR="00DA794A" w:rsidTr="002867C6">
        <w:tc>
          <w:tcPr>
            <w:tcW w:w="4223" w:type="dxa"/>
            <w:vAlign w:val="center"/>
          </w:tcPr>
          <w:p w:rsidR="00DA794A" w:rsidRPr="005E05A4" w:rsidRDefault="00DA794A" w:rsidP="002867C6">
            <w:pPr>
              <w:rPr>
                <w:rFonts w:ascii="Arial" w:hAnsi="Arial" w:cs="Arial"/>
                <w:color w:val="000000"/>
              </w:rPr>
            </w:pPr>
            <w:r w:rsidRPr="005E05A4">
              <w:rPr>
                <w:rFonts w:ascii="Arial" w:hAnsi="Arial" w:cs="Arial"/>
                <w:color w:val="000000"/>
              </w:rPr>
              <w:t>Kapacita baterie</w:t>
            </w:r>
          </w:p>
        </w:tc>
        <w:tc>
          <w:tcPr>
            <w:tcW w:w="4223" w:type="dxa"/>
            <w:vAlign w:val="center"/>
          </w:tcPr>
          <w:p w:rsidR="00DA794A" w:rsidRPr="005E05A4" w:rsidRDefault="00DA794A" w:rsidP="002867C6">
            <w:pPr>
              <w:rPr>
                <w:rFonts w:ascii="Arial" w:hAnsi="Arial" w:cs="Arial"/>
                <w:color w:val="000000"/>
              </w:rPr>
            </w:pPr>
            <w:r w:rsidRPr="005E05A4">
              <w:rPr>
                <w:rFonts w:ascii="Arial" w:hAnsi="Arial" w:cs="Arial"/>
                <w:color w:val="000000"/>
              </w:rPr>
              <w:t xml:space="preserve">280 </w:t>
            </w:r>
            <w:proofErr w:type="spellStart"/>
            <w:r w:rsidRPr="005E05A4">
              <w:rPr>
                <w:rFonts w:ascii="Arial" w:hAnsi="Arial" w:cs="Arial"/>
                <w:color w:val="000000"/>
              </w:rPr>
              <w:t>mAh</w:t>
            </w:r>
            <w:proofErr w:type="spellEnd"/>
          </w:p>
        </w:tc>
      </w:tr>
      <w:tr w:rsidR="00DA794A" w:rsidTr="002867C6">
        <w:tc>
          <w:tcPr>
            <w:tcW w:w="4223" w:type="dxa"/>
            <w:vAlign w:val="center"/>
          </w:tcPr>
          <w:p w:rsidR="00DA794A" w:rsidRPr="005E05A4" w:rsidRDefault="00AC613D" w:rsidP="002867C6">
            <w:pPr>
              <w:rPr>
                <w:rFonts w:ascii="Arial" w:hAnsi="Arial" w:cs="Arial"/>
                <w:color w:val="000000"/>
              </w:rPr>
            </w:pPr>
            <w:r>
              <w:rPr>
                <w:rFonts w:ascii="Arial" w:hAnsi="Arial" w:cs="Arial"/>
                <w:color w:val="000000"/>
              </w:rPr>
              <w:t>Rozměry</w:t>
            </w:r>
          </w:p>
        </w:tc>
        <w:tc>
          <w:tcPr>
            <w:tcW w:w="4223" w:type="dxa"/>
            <w:vAlign w:val="center"/>
          </w:tcPr>
          <w:p w:rsidR="00DA794A" w:rsidRPr="005E05A4" w:rsidRDefault="00DA794A" w:rsidP="002867C6">
            <w:pPr>
              <w:rPr>
                <w:rFonts w:ascii="Arial" w:hAnsi="Arial" w:cs="Arial"/>
                <w:color w:val="000000"/>
              </w:rPr>
            </w:pPr>
            <w:r w:rsidRPr="005E05A4">
              <w:rPr>
                <w:rFonts w:ascii="Arial" w:hAnsi="Arial" w:cs="Arial"/>
                <w:color w:val="000000"/>
              </w:rPr>
              <w:t>118*19*9 mm</w:t>
            </w:r>
          </w:p>
        </w:tc>
      </w:tr>
      <w:tr w:rsidR="00DA794A" w:rsidTr="002867C6">
        <w:tc>
          <w:tcPr>
            <w:tcW w:w="4223" w:type="dxa"/>
            <w:vAlign w:val="center"/>
          </w:tcPr>
          <w:p w:rsidR="00DA794A" w:rsidRPr="005E05A4" w:rsidRDefault="00DA794A" w:rsidP="002867C6">
            <w:pPr>
              <w:rPr>
                <w:rFonts w:ascii="Arial" w:hAnsi="Arial" w:cs="Arial"/>
                <w:color w:val="000000"/>
              </w:rPr>
            </w:pPr>
            <w:r w:rsidRPr="005E05A4">
              <w:rPr>
                <w:rFonts w:ascii="Arial" w:hAnsi="Arial" w:cs="Arial"/>
                <w:color w:val="000000"/>
              </w:rPr>
              <w:t>Nabíjení</w:t>
            </w:r>
          </w:p>
        </w:tc>
        <w:tc>
          <w:tcPr>
            <w:tcW w:w="4223" w:type="dxa"/>
            <w:vAlign w:val="center"/>
          </w:tcPr>
          <w:p w:rsidR="00DA794A" w:rsidRPr="005E05A4" w:rsidRDefault="00DA794A" w:rsidP="002867C6">
            <w:pPr>
              <w:rPr>
                <w:rFonts w:ascii="Arial" w:hAnsi="Arial" w:cs="Arial"/>
                <w:color w:val="000000"/>
              </w:rPr>
            </w:pPr>
            <w:proofErr w:type="spellStart"/>
            <w:r w:rsidRPr="005E05A4">
              <w:rPr>
                <w:rFonts w:ascii="Arial" w:hAnsi="Arial" w:cs="Arial"/>
                <w:color w:val="000000"/>
              </w:rPr>
              <w:t>micro</w:t>
            </w:r>
            <w:proofErr w:type="spellEnd"/>
            <w:r w:rsidRPr="005E05A4">
              <w:rPr>
                <w:rFonts w:ascii="Arial" w:hAnsi="Arial" w:cs="Arial"/>
                <w:color w:val="000000"/>
              </w:rPr>
              <w:t xml:space="preserve"> USB</w:t>
            </w:r>
          </w:p>
        </w:tc>
      </w:tr>
      <w:tr w:rsidR="00B90E7C" w:rsidTr="002867C6">
        <w:tc>
          <w:tcPr>
            <w:tcW w:w="4223" w:type="dxa"/>
            <w:vAlign w:val="center"/>
          </w:tcPr>
          <w:p w:rsidR="00B90E7C" w:rsidRPr="005E05A4" w:rsidRDefault="00B90E7C" w:rsidP="002867C6">
            <w:pPr>
              <w:rPr>
                <w:rFonts w:ascii="Arial" w:hAnsi="Arial" w:cs="Arial"/>
                <w:color w:val="000000"/>
              </w:rPr>
            </w:pPr>
            <w:r w:rsidRPr="00B90E7C">
              <w:rPr>
                <w:rFonts w:ascii="Arial" w:hAnsi="Arial" w:cs="Arial"/>
                <w:color w:val="000000"/>
              </w:rPr>
              <w:t>Výstupní napětí:</w:t>
            </w:r>
          </w:p>
        </w:tc>
        <w:tc>
          <w:tcPr>
            <w:tcW w:w="4223" w:type="dxa"/>
            <w:vAlign w:val="center"/>
          </w:tcPr>
          <w:p w:rsidR="00B90E7C" w:rsidRPr="005E05A4" w:rsidRDefault="00B90E7C" w:rsidP="002867C6">
            <w:pPr>
              <w:rPr>
                <w:rFonts w:ascii="Arial" w:hAnsi="Arial" w:cs="Arial"/>
                <w:color w:val="000000"/>
              </w:rPr>
            </w:pPr>
            <w:r w:rsidRPr="00B90E7C">
              <w:rPr>
                <w:rFonts w:ascii="Arial" w:hAnsi="Arial" w:cs="Arial"/>
                <w:color w:val="000000"/>
              </w:rPr>
              <w:t>3.7 V</w:t>
            </w:r>
          </w:p>
        </w:tc>
      </w:tr>
      <w:tr w:rsidR="00B90E7C" w:rsidTr="002867C6">
        <w:tc>
          <w:tcPr>
            <w:tcW w:w="4223" w:type="dxa"/>
            <w:vAlign w:val="center"/>
          </w:tcPr>
          <w:p w:rsidR="00B90E7C" w:rsidRPr="005E05A4" w:rsidRDefault="00B90E7C" w:rsidP="002867C6">
            <w:pPr>
              <w:rPr>
                <w:rFonts w:ascii="Arial" w:hAnsi="Arial" w:cs="Arial"/>
                <w:color w:val="000000"/>
              </w:rPr>
            </w:pPr>
            <w:r w:rsidRPr="00B90E7C">
              <w:rPr>
                <w:rFonts w:ascii="Arial" w:hAnsi="Arial" w:cs="Arial"/>
                <w:color w:val="000000"/>
              </w:rPr>
              <w:t>Výstupní výkon:</w:t>
            </w:r>
          </w:p>
        </w:tc>
        <w:tc>
          <w:tcPr>
            <w:tcW w:w="4223" w:type="dxa"/>
            <w:vAlign w:val="center"/>
          </w:tcPr>
          <w:p w:rsidR="00B90E7C" w:rsidRPr="005E05A4" w:rsidRDefault="00B90E7C" w:rsidP="002867C6">
            <w:pPr>
              <w:rPr>
                <w:rFonts w:ascii="Arial" w:hAnsi="Arial" w:cs="Arial"/>
                <w:color w:val="000000"/>
              </w:rPr>
            </w:pPr>
            <w:r w:rsidRPr="00B90E7C">
              <w:rPr>
                <w:rFonts w:ascii="Arial" w:hAnsi="Arial" w:cs="Arial"/>
                <w:color w:val="000000"/>
              </w:rPr>
              <w:t>10.4 W</w:t>
            </w:r>
          </w:p>
        </w:tc>
      </w:tr>
      <w:tr w:rsidR="00B90E7C" w:rsidTr="002867C6">
        <w:tc>
          <w:tcPr>
            <w:tcW w:w="4223" w:type="dxa"/>
            <w:vAlign w:val="center"/>
          </w:tcPr>
          <w:p w:rsidR="00B90E7C" w:rsidRPr="00B90E7C" w:rsidRDefault="00B90E7C" w:rsidP="002867C6">
            <w:pPr>
              <w:rPr>
                <w:rFonts w:ascii="Arial" w:hAnsi="Arial" w:cs="Arial"/>
                <w:color w:val="000000"/>
              </w:rPr>
            </w:pPr>
            <w:r w:rsidRPr="00B90E7C">
              <w:rPr>
                <w:rFonts w:ascii="Arial" w:hAnsi="Arial" w:cs="Arial"/>
                <w:color w:val="000000"/>
              </w:rPr>
              <w:t>Barva signalizační diody:</w:t>
            </w:r>
          </w:p>
        </w:tc>
        <w:tc>
          <w:tcPr>
            <w:tcW w:w="4223" w:type="dxa"/>
            <w:vAlign w:val="center"/>
          </w:tcPr>
          <w:p w:rsidR="00B90E7C" w:rsidRPr="00B90E7C" w:rsidRDefault="00B90E7C" w:rsidP="002867C6">
            <w:pPr>
              <w:rPr>
                <w:rFonts w:ascii="Arial" w:hAnsi="Arial" w:cs="Arial"/>
                <w:color w:val="000000"/>
              </w:rPr>
            </w:pPr>
            <w:r w:rsidRPr="00B90E7C">
              <w:rPr>
                <w:rFonts w:ascii="Arial" w:hAnsi="Arial" w:cs="Arial"/>
                <w:color w:val="000000"/>
              </w:rPr>
              <w:t>bílá</w:t>
            </w:r>
          </w:p>
        </w:tc>
      </w:tr>
    </w:tbl>
    <w:tbl>
      <w:tblPr>
        <w:tblStyle w:val="Mkatabulky"/>
        <w:tblpPr w:leftFromText="141" w:rightFromText="141" w:vertAnchor="text" w:horzAnchor="margin" w:tblpY="364"/>
        <w:tblW w:w="0" w:type="auto"/>
        <w:tblLook w:val="04A0"/>
      </w:tblPr>
      <w:tblGrid>
        <w:gridCol w:w="3066"/>
        <w:gridCol w:w="3109"/>
      </w:tblGrid>
      <w:tr w:rsidR="00DA794A" w:rsidTr="002867C6">
        <w:trPr>
          <w:trHeight w:val="20"/>
        </w:trPr>
        <w:tc>
          <w:tcPr>
            <w:tcW w:w="6175" w:type="dxa"/>
            <w:gridSpan w:val="2"/>
            <w:vAlign w:val="center"/>
          </w:tcPr>
          <w:p w:rsidR="00DA794A" w:rsidRPr="005E05A4" w:rsidRDefault="00DA794A" w:rsidP="002867C6">
            <w:pPr>
              <w:rPr>
                <w:rFonts w:ascii="Arial" w:hAnsi="Arial" w:cs="Arial"/>
                <w:color w:val="000000"/>
              </w:rPr>
            </w:pPr>
            <w:r w:rsidRPr="005E05A4">
              <w:rPr>
                <w:rFonts w:ascii="Arial" w:hAnsi="Arial" w:cs="Arial"/>
              </w:rPr>
              <w:t>Materiály:</w:t>
            </w:r>
          </w:p>
        </w:tc>
      </w:tr>
      <w:tr w:rsidR="00DA794A" w:rsidTr="002867C6">
        <w:trPr>
          <w:trHeight w:val="20"/>
        </w:trPr>
        <w:tc>
          <w:tcPr>
            <w:tcW w:w="3066" w:type="dxa"/>
            <w:vAlign w:val="center"/>
          </w:tcPr>
          <w:p w:rsidR="00DA794A" w:rsidRPr="005E05A4" w:rsidRDefault="00DA794A" w:rsidP="002867C6">
            <w:pPr>
              <w:spacing w:line="220" w:lineRule="atLeast"/>
              <w:rPr>
                <w:rFonts w:ascii="Arial" w:hAnsi="Arial" w:cs="Arial"/>
                <w:color w:val="FF0000"/>
              </w:rPr>
            </w:pPr>
            <w:r w:rsidRPr="005E05A4">
              <w:rPr>
                <w:rFonts w:ascii="Arial" w:hAnsi="Arial" w:cs="Arial"/>
              </w:rPr>
              <w:t>Nádržka pro destilát</w:t>
            </w:r>
          </w:p>
        </w:tc>
        <w:tc>
          <w:tcPr>
            <w:tcW w:w="3109" w:type="dxa"/>
            <w:vAlign w:val="center"/>
          </w:tcPr>
          <w:p w:rsidR="00DA794A" w:rsidRPr="005E05A4" w:rsidRDefault="00DA794A" w:rsidP="002867C6">
            <w:pPr>
              <w:rPr>
                <w:rFonts w:ascii="Arial" w:hAnsi="Arial" w:cs="Arial"/>
                <w:color w:val="FF0000"/>
              </w:rPr>
            </w:pPr>
            <w:r w:rsidRPr="005E05A4">
              <w:rPr>
                <w:rFonts w:ascii="Arial" w:hAnsi="Arial" w:cs="Arial"/>
              </w:rPr>
              <w:t>PCTG</w:t>
            </w:r>
          </w:p>
        </w:tc>
      </w:tr>
      <w:tr w:rsidR="00DA794A" w:rsidTr="002867C6">
        <w:trPr>
          <w:trHeight w:val="20"/>
        </w:trPr>
        <w:tc>
          <w:tcPr>
            <w:tcW w:w="3066" w:type="dxa"/>
            <w:vAlign w:val="center"/>
          </w:tcPr>
          <w:p w:rsidR="00DA794A" w:rsidRPr="005E05A4" w:rsidRDefault="00DA794A" w:rsidP="002867C6">
            <w:pPr>
              <w:rPr>
                <w:rFonts w:ascii="Arial" w:hAnsi="Arial" w:cs="Arial"/>
                <w:color w:val="000000"/>
              </w:rPr>
            </w:pPr>
            <w:r w:rsidRPr="005E05A4">
              <w:rPr>
                <w:rFonts w:ascii="Arial" w:hAnsi="Arial" w:cs="Arial"/>
              </w:rPr>
              <w:t>Náustek</w:t>
            </w:r>
          </w:p>
        </w:tc>
        <w:tc>
          <w:tcPr>
            <w:tcW w:w="3109" w:type="dxa"/>
            <w:vAlign w:val="center"/>
          </w:tcPr>
          <w:p w:rsidR="00DA794A" w:rsidRPr="005E05A4" w:rsidRDefault="00DA794A" w:rsidP="002867C6">
            <w:pPr>
              <w:rPr>
                <w:rFonts w:ascii="Arial" w:hAnsi="Arial" w:cs="Arial"/>
                <w:color w:val="000000"/>
              </w:rPr>
            </w:pPr>
            <w:r w:rsidRPr="005E05A4">
              <w:rPr>
                <w:rFonts w:ascii="Arial" w:hAnsi="Arial" w:cs="Arial"/>
              </w:rPr>
              <w:t>PCTG</w:t>
            </w:r>
          </w:p>
        </w:tc>
      </w:tr>
      <w:tr w:rsidR="00DA794A" w:rsidTr="002867C6">
        <w:trPr>
          <w:trHeight w:val="20"/>
        </w:trPr>
        <w:tc>
          <w:tcPr>
            <w:tcW w:w="3066" w:type="dxa"/>
            <w:vAlign w:val="center"/>
          </w:tcPr>
          <w:p w:rsidR="00DA794A" w:rsidRPr="005E05A4" w:rsidRDefault="00DA794A" w:rsidP="002867C6">
            <w:pPr>
              <w:rPr>
                <w:rFonts w:ascii="Arial" w:hAnsi="Arial" w:cs="Arial"/>
                <w:color w:val="000000"/>
              </w:rPr>
            </w:pPr>
            <w:r w:rsidRPr="005E05A4">
              <w:rPr>
                <w:rFonts w:ascii="Arial" w:hAnsi="Arial" w:cs="Arial"/>
              </w:rPr>
              <w:t>Středová jehla</w:t>
            </w:r>
          </w:p>
        </w:tc>
        <w:tc>
          <w:tcPr>
            <w:tcW w:w="3109" w:type="dxa"/>
            <w:vAlign w:val="center"/>
          </w:tcPr>
          <w:p w:rsidR="00DA794A" w:rsidRPr="005E05A4" w:rsidRDefault="00DA794A" w:rsidP="002867C6">
            <w:pPr>
              <w:rPr>
                <w:rFonts w:ascii="Arial" w:hAnsi="Arial" w:cs="Arial"/>
                <w:color w:val="000000"/>
              </w:rPr>
            </w:pPr>
            <w:r w:rsidRPr="005E05A4">
              <w:rPr>
                <w:rFonts w:ascii="Arial" w:hAnsi="Arial" w:cs="Arial"/>
              </w:rPr>
              <w:t>Kov (</w:t>
            </w:r>
            <w:proofErr w:type="spellStart"/>
            <w:r w:rsidRPr="005E05A4">
              <w:rPr>
                <w:rFonts w:ascii="Arial" w:hAnsi="Arial" w:cs="Arial"/>
              </w:rPr>
              <w:t>Cu</w:t>
            </w:r>
            <w:proofErr w:type="spellEnd"/>
            <w:r w:rsidRPr="005E05A4">
              <w:rPr>
                <w:rFonts w:ascii="Arial" w:hAnsi="Arial" w:cs="Arial"/>
              </w:rPr>
              <w:t>)</w:t>
            </w:r>
          </w:p>
        </w:tc>
      </w:tr>
      <w:tr w:rsidR="00DA794A" w:rsidTr="002867C6">
        <w:trPr>
          <w:trHeight w:val="20"/>
        </w:trPr>
        <w:tc>
          <w:tcPr>
            <w:tcW w:w="3066" w:type="dxa"/>
            <w:vAlign w:val="center"/>
          </w:tcPr>
          <w:p w:rsidR="00DA794A" w:rsidRPr="005E05A4" w:rsidRDefault="00DA794A" w:rsidP="002867C6">
            <w:pPr>
              <w:rPr>
                <w:rFonts w:ascii="Arial" w:hAnsi="Arial" w:cs="Arial"/>
                <w:color w:val="000000"/>
              </w:rPr>
            </w:pPr>
            <w:r w:rsidRPr="005E05A4">
              <w:rPr>
                <w:rFonts w:ascii="Arial" w:hAnsi="Arial" w:cs="Arial"/>
              </w:rPr>
              <w:t>Cívka</w:t>
            </w:r>
          </w:p>
        </w:tc>
        <w:tc>
          <w:tcPr>
            <w:tcW w:w="3109" w:type="dxa"/>
            <w:vAlign w:val="center"/>
          </w:tcPr>
          <w:p w:rsidR="00DA794A" w:rsidRPr="005E05A4" w:rsidRDefault="00DA794A" w:rsidP="002867C6">
            <w:pPr>
              <w:rPr>
                <w:rFonts w:ascii="Arial" w:hAnsi="Arial" w:cs="Arial"/>
                <w:color w:val="000000"/>
              </w:rPr>
            </w:pPr>
            <w:r w:rsidRPr="005E05A4">
              <w:rPr>
                <w:rFonts w:ascii="Arial" w:hAnsi="Arial" w:cs="Arial"/>
              </w:rPr>
              <w:t>porézní keramická spirála</w:t>
            </w:r>
          </w:p>
        </w:tc>
      </w:tr>
      <w:tr w:rsidR="00DA794A" w:rsidTr="002867C6">
        <w:trPr>
          <w:trHeight w:val="20"/>
        </w:trPr>
        <w:tc>
          <w:tcPr>
            <w:tcW w:w="3066" w:type="dxa"/>
            <w:vAlign w:val="center"/>
          </w:tcPr>
          <w:p w:rsidR="00DA794A" w:rsidRPr="005E05A4" w:rsidRDefault="00DA794A" w:rsidP="002867C6">
            <w:pPr>
              <w:rPr>
                <w:rFonts w:ascii="Arial" w:hAnsi="Arial" w:cs="Arial"/>
                <w:color w:val="000000"/>
              </w:rPr>
            </w:pPr>
            <w:r w:rsidRPr="005E05A4">
              <w:rPr>
                <w:rFonts w:ascii="Arial" w:hAnsi="Arial" w:cs="Arial"/>
              </w:rPr>
              <w:t xml:space="preserve">Topný </w:t>
            </w:r>
            <w:r>
              <w:rPr>
                <w:rFonts w:ascii="Arial" w:hAnsi="Arial" w:cs="Arial"/>
              </w:rPr>
              <w:t>drá</w:t>
            </w:r>
            <w:r w:rsidRPr="005E05A4">
              <w:rPr>
                <w:rFonts w:ascii="Arial" w:hAnsi="Arial" w:cs="Arial"/>
              </w:rPr>
              <w:t>t</w:t>
            </w:r>
          </w:p>
        </w:tc>
        <w:tc>
          <w:tcPr>
            <w:tcW w:w="3109" w:type="dxa"/>
            <w:vAlign w:val="center"/>
          </w:tcPr>
          <w:p w:rsidR="00DA794A" w:rsidRPr="005E05A4" w:rsidRDefault="00DA794A" w:rsidP="002867C6">
            <w:pPr>
              <w:rPr>
                <w:rFonts w:ascii="Arial" w:hAnsi="Arial" w:cs="Arial"/>
                <w:color w:val="000000"/>
              </w:rPr>
            </w:pPr>
            <w:r w:rsidRPr="005E05A4">
              <w:rPr>
                <w:rFonts w:ascii="Arial" w:hAnsi="Arial" w:cs="Arial"/>
              </w:rPr>
              <w:t>Nichrom</w:t>
            </w:r>
            <w:r>
              <w:rPr>
                <w:rFonts w:ascii="Arial" w:hAnsi="Arial" w:cs="Arial"/>
              </w:rPr>
              <w:t xml:space="preserve"> (Ni80)</w:t>
            </w:r>
          </w:p>
        </w:tc>
      </w:tr>
    </w:tbl>
    <w:p w:rsidR="00DA794A" w:rsidRDefault="00DA794A" w:rsidP="006303F8"/>
    <w:p w:rsidR="00DA794A" w:rsidRDefault="00DA794A" w:rsidP="006303F8"/>
    <w:p w:rsidR="00DA794A" w:rsidRDefault="00DA794A" w:rsidP="006303F8"/>
    <w:p w:rsidR="00227643" w:rsidRDefault="00227643" w:rsidP="00D80D9A"/>
    <w:p w:rsidR="00FC2A1F" w:rsidRDefault="00FC2A1F" w:rsidP="00D80D9A"/>
    <w:p w:rsidR="00446972" w:rsidRDefault="00FC2A1F" w:rsidP="00D80D9A">
      <w:r>
        <w:br w:type="column"/>
      </w:r>
      <w:r w:rsidR="00446972">
        <w:lastRenderedPageBreak/>
        <w:t>NÁVOD K POUŽITÍ</w:t>
      </w:r>
    </w:p>
    <w:p w:rsidR="00D80D9A" w:rsidRDefault="00D80D9A" w:rsidP="00D80D9A">
      <w:proofErr w:type="spellStart"/>
      <w:r>
        <w:t>Vape</w:t>
      </w:r>
      <w:proofErr w:type="spellEnd"/>
      <w:r>
        <w:t xml:space="preserve"> </w:t>
      </w:r>
      <w:proofErr w:type="spellStart"/>
      <w:r>
        <w:t>Pen</w:t>
      </w:r>
      <w:proofErr w:type="spellEnd"/>
      <w:r>
        <w:t xml:space="preserve"> je ihned připraven k použití. Aktivujete jej potažením z náustku. Současně s potažením se </w:t>
      </w:r>
      <w:proofErr w:type="gramStart"/>
      <w:r>
        <w:t>rozsvítí</w:t>
      </w:r>
      <w:proofErr w:type="gramEnd"/>
      <w:r>
        <w:t xml:space="preserve"> bílá kontrolka vedle </w:t>
      </w:r>
      <w:proofErr w:type="spellStart"/>
      <w:proofErr w:type="gramStart"/>
      <w:r>
        <w:t>micro</w:t>
      </w:r>
      <w:proofErr w:type="spellEnd"/>
      <w:proofErr w:type="gramEnd"/>
      <w:r>
        <w:t xml:space="preserve"> USB portu, která signalizuje, že je zdroj energie zapnutý a aktivní. Ve chvíli, kdy zařízení po aktivaci nevytváří páru, je zařízení prázdné. Na vybitou baterii upozorní světelná dioda tak, že 3× červeně blikne.</w:t>
      </w:r>
    </w:p>
    <w:p w:rsidR="00D80D9A" w:rsidRDefault="00D80D9A" w:rsidP="00D80D9A">
      <w:r>
        <w:t>NABÍJENÍ BATERIE:</w:t>
      </w:r>
    </w:p>
    <w:p w:rsidR="00D80D9A" w:rsidRDefault="00D80D9A" w:rsidP="00D80D9A">
      <w:r>
        <w:t xml:space="preserve">Připojte USB kabel do </w:t>
      </w:r>
      <w:proofErr w:type="spellStart"/>
      <w:proofErr w:type="gramStart"/>
      <w:r>
        <w:t>micro</w:t>
      </w:r>
      <w:proofErr w:type="spellEnd"/>
      <w:proofErr w:type="gramEnd"/>
      <w:r>
        <w:t xml:space="preserve"> USB konektoru ve spodní části </w:t>
      </w:r>
      <w:proofErr w:type="spellStart"/>
      <w:r>
        <w:t>vaporizéru</w:t>
      </w:r>
      <w:proofErr w:type="spellEnd"/>
      <w:r>
        <w:t xml:space="preserve">. Poté zapojte kabel do aktivního portu nebo síťového adaptéru. Rozsvítí se bílá kontrolka signalizující proces nabíjení. Po úplném nabití tato kontrolka zhasne, předtím ale 3x blikne. Při nabíjení přes USB použijte port s dostatečným příkonem (max. 1A) a baterii nabíjejte do úplného nabytí (prodloužíte tím její životnost). Pokud dojde k přehřátí zařízení, počkejte před použitím na návrat do normální teploty. </w:t>
      </w:r>
      <w:proofErr w:type="spellStart"/>
      <w:r>
        <w:t>Vape</w:t>
      </w:r>
      <w:proofErr w:type="spellEnd"/>
      <w:r>
        <w:t xml:space="preserve"> </w:t>
      </w:r>
      <w:proofErr w:type="spellStart"/>
      <w:r>
        <w:t>pen</w:t>
      </w:r>
      <w:proofErr w:type="spellEnd"/>
      <w:r>
        <w:t xml:space="preserve"> je bezúdržbový - připravený k okamžitému použití. V případě, že dojde k vybití baterie a v náplň nebude zcela </w:t>
      </w:r>
      <w:proofErr w:type="gramStart"/>
      <w:r>
        <w:t>spotřebována,  je</w:t>
      </w:r>
      <w:proofErr w:type="gramEnd"/>
      <w:r>
        <w:t xml:space="preserve"> nezbytné toto zařízení dobít dle instrukcí tak, aby došlo ke 100% využití náplně. Zařízení je jednorázové. Po spotřebování jej dále nepoužívejte.</w:t>
      </w:r>
    </w:p>
    <w:p w:rsidR="00D80D9A" w:rsidRPr="004247FB" w:rsidRDefault="00D80D9A" w:rsidP="00D80D9A">
      <w:r w:rsidRPr="004247FB">
        <w:t>OCHRANA BATERIE: proti zkratu, přehřátí, přebití a nadměrnému vybití.</w:t>
      </w:r>
    </w:p>
    <w:p w:rsidR="00D80D9A" w:rsidRDefault="00D80D9A" w:rsidP="00D80D9A">
      <w:r>
        <w:t>PÉČE A BEZPEČNOST:</w:t>
      </w:r>
    </w:p>
    <w:p w:rsidR="00637191" w:rsidRDefault="00D80D9A" w:rsidP="006303F8">
      <w:r>
        <w:t>Nenechávejte zařízení během nabíjení bez dozoru. Chraňte před vodou nebo hořlavým plynem či kapalinou. Nevystavujte zařízení přímému slunečnímu záření, prachu, vlhkosti ani mechanickým nárazům. Nevystavujte zařízení extrémním teplotám. Recyklace baterií: Baterie by měla být předána k recyklaci na příslušné sběrné místo použitých baterií.</w:t>
      </w:r>
    </w:p>
    <w:p w:rsidR="002D15AD" w:rsidRPr="00A22B5D" w:rsidRDefault="00637191" w:rsidP="006303F8">
      <w:pPr>
        <w:rPr>
          <w:b/>
        </w:rPr>
      </w:pPr>
      <w:r w:rsidRPr="00A22B5D">
        <w:rPr>
          <w:b/>
        </w:rPr>
        <w:t>EU prohlášení o shodě:</w:t>
      </w:r>
    </w:p>
    <w:p w:rsidR="00DD18CF" w:rsidRPr="00DD18CF" w:rsidRDefault="00DD18CF" w:rsidP="00DD18CF">
      <w:r w:rsidRPr="00DD18CF">
        <w:t xml:space="preserve">Výrobek splňuje </w:t>
      </w:r>
      <w:r w:rsidRPr="00DD18CF">
        <w:rPr>
          <w:bCs/>
        </w:rPr>
        <w:t>bezpečnostní, zdravotní i environmentální požadavky EU</w:t>
      </w:r>
      <w:r w:rsidR="00D05044">
        <w:rPr>
          <w:bCs/>
        </w:rPr>
        <w:t xml:space="preserve"> na </w:t>
      </w:r>
      <w:r w:rsidR="00D05044" w:rsidRPr="00DD18CF">
        <w:t>základě Prohlášení o shodě výrobku s</w:t>
      </w:r>
      <w:r w:rsidR="00D05044">
        <w:t> </w:t>
      </w:r>
      <w:r w:rsidR="00D05044" w:rsidRPr="00DD18CF">
        <w:t>technickými</w:t>
      </w:r>
      <w:r w:rsidR="00D05044">
        <w:t xml:space="preserve"> předpisy.</w:t>
      </w:r>
    </w:p>
    <w:p w:rsidR="00637191" w:rsidRPr="00637191" w:rsidRDefault="00637191" w:rsidP="006303F8">
      <w:pPr>
        <w:rPr>
          <w:b/>
        </w:rPr>
      </w:pPr>
      <w:r w:rsidRPr="00637191">
        <w:rPr>
          <w:b/>
        </w:rPr>
        <w:t xml:space="preserve">Soupis příslušných předpisů, které výrobek splňuje: </w:t>
      </w:r>
    </w:p>
    <w:p w:rsidR="00637191" w:rsidRDefault="00637191" w:rsidP="00637191">
      <w:pPr>
        <w:spacing w:after="0"/>
        <w:rPr>
          <w:rFonts w:ascii="Arial" w:eastAsia="Times New Roman" w:hAnsi="Arial" w:cs="Arial"/>
          <w:i/>
          <w:iCs/>
          <w:sz w:val="20"/>
          <w:szCs w:val="20"/>
        </w:rPr>
      </w:pPr>
      <w:proofErr w:type="spellStart"/>
      <w:r w:rsidRPr="008856E2">
        <w:rPr>
          <w:rFonts w:ascii="Arial" w:eastAsia="Times New Roman" w:hAnsi="Arial" w:cs="Arial"/>
          <w:i/>
          <w:iCs/>
          <w:sz w:val="20"/>
          <w:szCs w:val="20"/>
        </w:rPr>
        <w:t>RoHS</w:t>
      </w:r>
      <w:proofErr w:type="spellEnd"/>
      <w:r>
        <w:rPr>
          <w:rFonts w:ascii="Arial" w:eastAsia="Times New Roman" w:hAnsi="Arial" w:cs="Arial"/>
          <w:i/>
          <w:iCs/>
          <w:sz w:val="20"/>
          <w:szCs w:val="20"/>
        </w:rPr>
        <w:t xml:space="preserve"> - </w:t>
      </w:r>
      <w:r w:rsidRPr="008856E2">
        <w:rPr>
          <w:rFonts w:ascii="Arial" w:eastAsia="Times New Roman" w:hAnsi="Arial" w:cs="Arial"/>
          <w:i/>
          <w:iCs/>
          <w:sz w:val="20"/>
          <w:szCs w:val="20"/>
        </w:rPr>
        <w:t>Nařízení vlády č. 481/2012 Sb., o omezení používání některých nebezpečných látek v elektrických a elektronických zařízeních, které nabylo účinnosti dne 2. ledna 2013</w:t>
      </w:r>
    </w:p>
    <w:p w:rsidR="00637191" w:rsidRDefault="00637191" w:rsidP="00637191">
      <w:pPr>
        <w:spacing w:after="0"/>
        <w:rPr>
          <w:rFonts w:ascii="Arial" w:eastAsia="Times New Roman" w:hAnsi="Arial" w:cs="Arial"/>
          <w:i/>
          <w:iCs/>
          <w:sz w:val="20"/>
          <w:szCs w:val="20"/>
        </w:rPr>
      </w:pPr>
    </w:p>
    <w:p w:rsidR="00637191" w:rsidRPr="00084490" w:rsidRDefault="00637191" w:rsidP="00637191">
      <w:pPr>
        <w:spacing w:after="0"/>
        <w:rPr>
          <w:rFonts w:ascii="Arial" w:eastAsia="Times New Roman" w:hAnsi="Arial" w:cs="Arial"/>
          <w:sz w:val="20"/>
          <w:szCs w:val="20"/>
        </w:rPr>
      </w:pPr>
      <w:r>
        <w:rPr>
          <w:rFonts w:ascii="Arial" w:eastAsia="Times New Roman" w:hAnsi="Arial" w:cs="Arial"/>
          <w:sz w:val="20"/>
          <w:szCs w:val="20"/>
        </w:rPr>
        <w:t>EMC - Elektromagnetická</w:t>
      </w:r>
      <w:r w:rsidRPr="008856E2">
        <w:rPr>
          <w:rFonts w:ascii="Arial" w:eastAsia="Times New Roman" w:hAnsi="Arial" w:cs="Arial"/>
          <w:sz w:val="20"/>
          <w:szCs w:val="20"/>
        </w:rPr>
        <w:t xml:space="preserve"> kompa</w:t>
      </w:r>
      <w:r>
        <w:rPr>
          <w:rFonts w:ascii="Arial" w:eastAsia="Times New Roman" w:hAnsi="Arial" w:cs="Arial"/>
          <w:sz w:val="20"/>
          <w:szCs w:val="20"/>
        </w:rPr>
        <w:t xml:space="preserve">tibilita </w:t>
      </w:r>
      <w:r w:rsidRPr="00084490">
        <w:rPr>
          <w:rFonts w:ascii="Arial" w:eastAsia="Times New Roman" w:hAnsi="Arial" w:cs="Arial"/>
          <w:i/>
          <w:iCs/>
          <w:color w:val="000000"/>
          <w:sz w:val="20"/>
          <w:szCs w:val="20"/>
        </w:rPr>
        <w:t>nařízení vlády č. 117/2016 Sb.,</w:t>
      </w:r>
    </w:p>
    <w:p w:rsidR="00637191" w:rsidRDefault="00637191" w:rsidP="006303F8"/>
    <w:p w:rsidR="00637191" w:rsidRPr="00AC613D" w:rsidRDefault="00637191" w:rsidP="006303F8">
      <w:pPr>
        <w:rPr>
          <w:b/>
        </w:rPr>
      </w:pPr>
      <w:r>
        <w:rPr>
          <w:b/>
        </w:rPr>
        <w:t>Technické normy</w:t>
      </w:r>
      <w:r w:rsidR="00FC2A1F">
        <w:rPr>
          <w:b/>
        </w:rPr>
        <w:t xml:space="preserve"> a standardy</w:t>
      </w:r>
      <w:r>
        <w:rPr>
          <w:b/>
        </w:rPr>
        <w:t>, které výrobek na základě prohlášení o shodě splňuje:</w:t>
      </w:r>
    </w:p>
    <w:p w:rsidR="00FC2A1F" w:rsidRDefault="00FC2A1F" w:rsidP="00FC2A1F">
      <w:pPr>
        <w:pStyle w:val="Odstavecseseznamem"/>
        <w:numPr>
          <w:ilvl w:val="0"/>
          <w:numId w:val="1"/>
        </w:numPr>
      </w:pPr>
      <w:r>
        <w:t>EN IEC 55014-1:2021</w:t>
      </w:r>
    </w:p>
    <w:p w:rsidR="00FC2A1F" w:rsidRDefault="00FC2A1F" w:rsidP="00FC2A1F">
      <w:pPr>
        <w:pStyle w:val="Odstavecseseznamem"/>
        <w:numPr>
          <w:ilvl w:val="0"/>
          <w:numId w:val="1"/>
        </w:numPr>
      </w:pPr>
      <w:r>
        <w:t>EN IEC 55014-2:2021</w:t>
      </w:r>
    </w:p>
    <w:p w:rsidR="00FC2A1F" w:rsidRDefault="00FC2A1F" w:rsidP="00FC2A1F">
      <w:pPr>
        <w:pStyle w:val="Odstavecseseznamem"/>
        <w:numPr>
          <w:ilvl w:val="0"/>
          <w:numId w:val="1"/>
        </w:numPr>
      </w:pPr>
      <w:r>
        <w:t>EN IEC 61000-3-2:2019+A1:2021</w:t>
      </w:r>
    </w:p>
    <w:p w:rsidR="00FC2A1F" w:rsidRDefault="00FC2A1F" w:rsidP="00FC2A1F">
      <w:pPr>
        <w:pStyle w:val="Odstavecseseznamem"/>
        <w:numPr>
          <w:ilvl w:val="0"/>
          <w:numId w:val="1"/>
        </w:numPr>
      </w:pPr>
      <w:r>
        <w:t>EN 61000-3-3:2013+A1:2019+A2:2021</w:t>
      </w:r>
    </w:p>
    <w:p w:rsidR="001746AA" w:rsidRDefault="001746AA" w:rsidP="00E8581A">
      <w:pPr>
        <w:pStyle w:val="Odstavecseseznamem"/>
        <w:numPr>
          <w:ilvl w:val="0"/>
          <w:numId w:val="1"/>
        </w:numPr>
      </w:pPr>
      <w:r w:rsidRPr="001746AA">
        <w:t>UN38.3</w:t>
      </w:r>
      <w:r w:rsidR="00E8581A">
        <w:t xml:space="preserve"> (1.2m) Test R</w:t>
      </w:r>
      <w:r>
        <w:t>eport</w:t>
      </w:r>
    </w:p>
    <w:p w:rsidR="00E8581A" w:rsidRDefault="00E8581A" w:rsidP="00E8581A">
      <w:pPr>
        <w:pStyle w:val="Odstavecseseznamem"/>
        <w:numPr>
          <w:ilvl w:val="0"/>
          <w:numId w:val="1"/>
        </w:numPr>
      </w:pPr>
      <w:proofErr w:type="spellStart"/>
      <w:r w:rsidRPr="00E8581A">
        <w:t>Identification</w:t>
      </w:r>
      <w:proofErr w:type="spellEnd"/>
      <w:r w:rsidRPr="00E8581A">
        <w:t xml:space="preserve"> </w:t>
      </w:r>
      <w:proofErr w:type="spellStart"/>
      <w:r w:rsidRPr="00E8581A">
        <w:t>and</w:t>
      </w:r>
      <w:proofErr w:type="spellEnd"/>
      <w:r w:rsidRPr="00E8581A">
        <w:t xml:space="preserve"> </w:t>
      </w:r>
      <w:proofErr w:type="spellStart"/>
      <w:r w:rsidRPr="00E8581A">
        <w:t>Classification</w:t>
      </w:r>
      <w:proofErr w:type="spellEnd"/>
      <w:r w:rsidRPr="00E8581A">
        <w:t xml:space="preserve"> Report </w:t>
      </w:r>
      <w:proofErr w:type="spellStart"/>
      <w:r w:rsidRPr="00E8581A">
        <w:t>For</w:t>
      </w:r>
      <w:proofErr w:type="spellEnd"/>
      <w:r w:rsidRPr="00E8581A">
        <w:t xml:space="preserve"> </w:t>
      </w:r>
      <w:proofErr w:type="spellStart"/>
      <w:r w:rsidRPr="00E8581A">
        <w:t>Sea</w:t>
      </w:r>
      <w:proofErr w:type="spellEnd"/>
      <w:r w:rsidRPr="00E8581A">
        <w:t xml:space="preserve"> Transport</w:t>
      </w:r>
    </w:p>
    <w:p w:rsidR="00E8581A" w:rsidRDefault="00E8581A" w:rsidP="00E8581A">
      <w:pPr>
        <w:pStyle w:val="Odstavecseseznamem"/>
        <w:numPr>
          <w:ilvl w:val="0"/>
          <w:numId w:val="1"/>
        </w:numPr>
      </w:pPr>
      <w:proofErr w:type="spellStart"/>
      <w:r w:rsidRPr="00E8581A">
        <w:t>Certificate</w:t>
      </w:r>
      <w:proofErr w:type="spellEnd"/>
      <w:r w:rsidRPr="00E8581A">
        <w:t xml:space="preserve"> </w:t>
      </w:r>
      <w:proofErr w:type="spellStart"/>
      <w:r w:rsidRPr="00E8581A">
        <w:t>for</w:t>
      </w:r>
      <w:proofErr w:type="spellEnd"/>
      <w:r w:rsidRPr="00E8581A">
        <w:t xml:space="preserve"> Safe Transport </w:t>
      </w:r>
      <w:proofErr w:type="spellStart"/>
      <w:r w:rsidRPr="00E8581A">
        <w:t>of</w:t>
      </w:r>
      <w:proofErr w:type="spellEnd"/>
      <w:r w:rsidRPr="00E8581A">
        <w:t xml:space="preserve"> </w:t>
      </w:r>
      <w:proofErr w:type="spellStart"/>
      <w:r w:rsidRPr="00E8581A">
        <w:t>Goods</w:t>
      </w:r>
      <w:proofErr w:type="spellEnd"/>
    </w:p>
    <w:p w:rsidR="00A22B5D" w:rsidRDefault="00A22B5D" w:rsidP="00A22B5D">
      <w:pPr>
        <w:pStyle w:val="Odstavecseseznamem"/>
      </w:pPr>
    </w:p>
    <w:p w:rsidR="00610BDC" w:rsidRDefault="00A22B5D" w:rsidP="006303F8">
      <w:r>
        <w:t>EU Prohlášení o shodě je přílohou tohoto dokumentu</w:t>
      </w:r>
    </w:p>
    <w:sectPr w:rsidR="00610BDC" w:rsidSect="00FC2A1F">
      <w:pgSz w:w="11906" w:h="16838"/>
      <w:pgMar w:top="1134"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E5F54"/>
    <w:multiLevelType w:val="hybridMultilevel"/>
    <w:tmpl w:val="DF5687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A9C1F82"/>
    <w:multiLevelType w:val="hybridMultilevel"/>
    <w:tmpl w:val="E3E428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303F8"/>
    <w:rsid w:val="000C5C54"/>
    <w:rsid w:val="00132364"/>
    <w:rsid w:val="001746AA"/>
    <w:rsid w:val="00227643"/>
    <w:rsid w:val="00240B4E"/>
    <w:rsid w:val="002D15AD"/>
    <w:rsid w:val="004247FB"/>
    <w:rsid w:val="00446972"/>
    <w:rsid w:val="0045767E"/>
    <w:rsid w:val="00457D3C"/>
    <w:rsid w:val="004A3206"/>
    <w:rsid w:val="005411ED"/>
    <w:rsid w:val="00610BDC"/>
    <w:rsid w:val="006303F8"/>
    <w:rsid w:val="00637191"/>
    <w:rsid w:val="008551EC"/>
    <w:rsid w:val="009615BB"/>
    <w:rsid w:val="009C58E0"/>
    <w:rsid w:val="00A22B5D"/>
    <w:rsid w:val="00AC2293"/>
    <w:rsid w:val="00AC613D"/>
    <w:rsid w:val="00B90AF7"/>
    <w:rsid w:val="00B90E7C"/>
    <w:rsid w:val="00B97B51"/>
    <w:rsid w:val="00B97D19"/>
    <w:rsid w:val="00C9065D"/>
    <w:rsid w:val="00D05044"/>
    <w:rsid w:val="00D80D9A"/>
    <w:rsid w:val="00DA794A"/>
    <w:rsid w:val="00DD18CF"/>
    <w:rsid w:val="00E8581A"/>
    <w:rsid w:val="00EA356F"/>
    <w:rsid w:val="00FC2A1F"/>
    <w:rsid w:val="00FC3C4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3C42"/>
  </w:style>
  <w:style w:type="paragraph" w:styleId="Nadpis3">
    <w:name w:val="heading 3"/>
    <w:basedOn w:val="Normln"/>
    <w:link w:val="Nadpis3Char"/>
    <w:uiPriority w:val="9"/>
    <w:qFormat/>
    <w:rsid w:val="001746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A794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A794A"/>
    <w:rPr>
      <w:rFonts w:ascii="Tahoma" w:hAnsi="Tahoma" w:cs="Tahoma"/>
      <w:sz w:val="16"/>
      <w:szCs w:val="16"/>
    </w:rPr>
  </w:style>
  <w:style w:type="table" w:styleId="Mkatabulky">
    <w:name w:val="Table Grid"/>
    <w:basedOn w:val="Normlntabulka"/>
    <w:uiPriority w:val="59"/>
    <w:qFormat/>
    <w:rsid w:val="00DA794A"/>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3Char">
    <w:name w:val="Nadpis 3 Char"/>
    <w:basedOn w:val="Standardnpsmoodstavce"/>
    <w:link w:val="Nadpis3"/>
    <w:uiPriority w:val="9"/>
    <w:rsid w:val="001746AA"/>
    <w:rPr>
      <w:rFonts w:ascii="Times New Roman" w:eastAsia="Times New Roman" w:hAnsi="Times New Roman" w:cs="Times New Roman"/>
      <w:b/>
      <w:bCs/>
      <w:sz w:val="27"/>
      <w:szCs w:val="27"/>
    </w:rPr>
  </w:style>
  <w:style w:type="character" w:styleId="Hypertextovodkaz">
    <w:name w:val="Hyperlink"/>
    <w:basedOn w:val="Standardnpsmoodstavce"/>
    <w:uiPriority w:val="99"/>
    <w:semiHidden/>
    <w:unhideWhenUsed/>
    <w:rsid w:val="001746AA"/>
    <w:rPr>
      <w:color w:val="0000FF"/>
      <w:u w:val="single"/>
    </w:rPr>
  </w:style>
  <w:style w:type="paragraph" w:styleId="Odstavecseseznamem">
    <w:name w:val="List Paragraph"/>
    <w:basedOn w:val="Normln"/>
    <w:uiPriority w:val="34"/>
    <w:qFormat/>
    <w:rsid w:val="00E8581A"/>
    <w:pPr>
      <w:ind w:left="720"/>
      <w:contextualSpacing/>
    </w:pPr>
  </w:style>
</w:styles>
</file>

<file path=word/webSettings.xml><?xml version="1.0" encoding="utf-8"?>
<w:webSettings xmlns:r="http://schemas.openxmlformats.org/officeDocument/2006/relationships" xmlns:w="http://schemas.openxmlformats.org/wordprocessingml/2006/main">
  <w:divs>
    <w:div w:id="780565249">
      <w:bodyDiv w:val="1"/>
      <w:marLeft w:val="0"/>
      <w:marRight w:val="0"/>
      <w:marTop w:val="0"/>
      <w:marBottom w:val="0"/>
      <w:divBdr>
        <w:top w:val="none" w:sz="0" w:space="0" w:color="auto"/>
        <w:left w:val="none" w:sz="0" w:space="0" w:color="auto"/>
        <w:bottom w:val="none" w:sz="0" w:space="0" w:color="auto"/>
        <w:right w:val="none" w:sz="0" w:space="0" w:color="auto"/>
      </w:divBdr>
    </w:div>
    <w:div w:id="1107653560">
      <w:bodyDiv w:val="1"/>
      <w:marLeft w:val="0"/>
      <w:marRight w:val="0"/>
      <w:marTop w:val="0"/>
      <w:marBottom w:val="0"/>
      <w:divBdr>
        <w:top w:val="none" w:sz="0" w:space="0" w:color="auto"/>
        <w:left w:val="none" w:sz="0" w:space="0" w:color="auto"/>
        <w:bottom w:val="none" w:sz="0" w:space="0" w:color="auto"/>
        <w:right w:val="none" w:sz="0" w:space="0" w:color="auto"/>
      </w:divBdr>
    </w:div>
    <w:div w:id="1296792805">
      <w:bodyDiv w:val="1"/>
      <w:marLeft w:val="0"/>
      <w:marRight w:val="0"/>
      <w:marTop w:val="0"/>
      <w:marBottom w:val="0"/>
      <w:divBdr>
        <w:top w:val="none" w:sz="0" w:space="0" w:color="auto"/>
        <w:left w:val="none" w:sz="0" w:space="0" w:color="auto"/>
        <w:bottom w:val="none" w:sz="0" w:space="0" w:color="auto"/>
        <w:right w:val="none" w:sz="0" w:space="0" w:color="auto"/>
      </w:divBdr>
      <w:divsChild>
        <w:div w:id="1158809762">
          <w:marLeft w:val="0"/>
          <w:marRight w:val="0"/>
          <w:marTop w:val="0"/>
          <w:marBottom w:val="0"/>
          <w:divBdr>
            <w:top w:val="none" w:sz="0" w:space="0" w:color="auto"/>
            <w:left w:val="none" w:sz="0" w:space="0" w:color="auto"/>
            <w:bottom w:val="none" w:sz="0" w:space="0" w:color="auto"/>
            <w:right w:val="none" w:sz="0" w:space="0" w:color="auto"/>
          </w:divBdr>
        </w:div>
        <w:div w:id="675621279">
          <w:marLeft w:val="0"/>
          <w:marRight w:val="0"/>
          <w:marTop w:val="0"/>
          <w:marBottom w:val="0"/>
          <w:divBdr>
            <w:top w:val="none" w:sz="0" w:space="0" w:color="auto"/>
            <w:left w:val="none" w:sz="0" w:space="0" w:color="auto"/>
            <w:bottom w:val="none" w:sz="0" w:space="0" w:color="auto"/>
            <w:right w:val="none" w:sz="0" w:space="0" w:color="auto"/>
          </w:divBdr>
        </w:div>
        <w:div w:id="1354838251">
          <w:marLeft w:val="0"/>
          <w:marRight w:val="0"/>
          <w:marTop w:val="0"/>
          <w:marBottom w:val="0"/>
          <w:divBdr>
            <w:top w:val="none" w:sz="0" w:space="0" w:color="auto"/>
            <w:left w:val="none" w:sz="0" w:space="0" w:color="auto"/>
            <w:bottom w:val="none" w:sz="0" w:space="0" w:color="auto"/>
            <w:right w:val="none" w:sz="0" w:space="0" w:color="auto"/>
          </w:divBdr>
        </w:div>
      </w:divsChild>
    </w:div>
    <w:div w:id="1731151854">
      <w:bodyDiv w:val="1"/>
      <w:marLeft w:val="0"/>
      <w:marRight w:val="0"/>
      <w:marTop w:val="0"/>
      <w:marBottom w:val="0"/>
      <w:divBdr>
        <w:top w:val="none" w:sz="0" w:space="0" w:color="auto"/>
        <w:left w:val="none" w:sz="0" w:space="0" w:color="auto"/>
        <w:bottom w:val="none" w:sz="0" w:space="0" w:color="auto"/>
        <w:right w:val="none" w:sz="0" w:space="0" w:color="auto"/>
      </w:divBdr>
      <w:divsChild>
        <w:div w:id="1133792301">
          <w:marLeft w:val="0"/>
          <w:marRight w:val="0"/>
          <w:marTop w:val="0"/>
          <w:marBottom w:val="0"/>
          <w:divBdr>
            <w:top w:val="none" w:sz="0" w:space="0" w:color="auto"/>
            <w:left w:val="none" w:sz="0" w:space="0" w:color="auto"/>
            <w:bottom w:val="none" w:sz="0" w:space="0" w:color="auto"/>
            <w:right w:val="none" w:sz="0" w:space="0" w:color="auto"/>
          </w:divBdr>
        </w:div>
        <w:div w:id="204371466">
          <w:marLeft w:val="0"/>
          <w:marRight w:val="0"/>
          <w:marTop w:val="0"/>
          <w:marBottom w:val="0"/>
          <w:divBdr>
            <w:top w:val="none" w:sz="0" w:space="0" w:color="auto"/>
            <w:left w:val="none" w:sz="0" w:space="0" w:color="auto"/>
            <w:bottom w:val="none" w:sz="0" w:space="0" w:color="auto"/>
            <w:right w:val="none" w:sz="0" w:space="0" w:color="auto"/>
          </w:divBdr>
        </w:div>
        <w:div w:id="231811945">
          <w:marLeft w:val="0"/>
          <w:marRight w:val="0"/>
          <w:marTop w:val="0"/>
          <w:marBottom w:val="0"/>
          <w:divBdr>
            <w:top w:val="none" w:sz="0" w:space="0" w:color="auto"/>
            <w:left w:val="none" w:sz="0" w:space="0" w:color="auto"/>
            <w:bottom w:val="none" w:sz="0" w:space="0" w:color="auto"/>
            <w:right w:val="none" w:sz="0" w:space="0" w:color="auto"/>
          </w:divBdr>
        </w:div>
      </w:divsChild>
    </w:div>
    <w:div w:id="1808358782">
      <w:bodyDiv w:val="1"/>
      <w:marLeft w:val="0"/>
      <w:marRight w:val="0"/>
      <w:marTop w:val="0"/>
      <w:marBottom w:val="0"/>
      <w:divBdr>
        <w:top w:val="none" w:sz="0" w:space="0" w:color="auto"/>
        <w:left w:val="none" w:sz="0" w:space="0" w:color="auto"/>
        <w:bottom w:val="none" w:sz="0" w:space="0" w:color="auto"/>
        <w:right w:val="none" w:sz="0" w:space="0" w:color="auto"/>
      </w:divBdr>
      <w:divsChild>
        <w:div w:id="1294755772">
          <w:marLeft w:val="0"/>
          <w:marRight w:val="0"/>
          <w:marTop w:val="0"/>
          <w:marBottom w:val="0"/>
          <w:divBdr>
            <w:top w:val="none" w:sz="0" w:space="0" w:color="auto"/>
            <w:left w:val="none" w:sz="0" w:space="0" w:color="auto"/>
            <w:bottom w:val="none" w:sz="0" w:space="0" w:color="auto"/>
            <w:right w:val="none" w:sz="0" w:space="0" w:color="auto"/>
          </w:divBdr>
        </w:div>
        <w:div w:id="1209613207">
          <w:marLeft w:val="0"/>
          <w:marRight w:val="0"/>
          <w:marTop w:val="0"/>
          <w:marBottom w:val="0"/>
          <w:divBdr>
            <w:top w:val="none" w:sz="0" w:space="0" w:color="auto"/>
            <w:left w:val="none" w:sz="0" w:space="0" w:color="auto"/>
            <w:bottom w:val="none" w:sz="0" w:space="0" w:color="auto"/>
            <w:right w:val="none" w:sz="0" w:space="0" w:color="auto"/>
          </w:divBdr>
        </w:div>
        <w:div w:id="437259758">
          <w:marLeft w:val="0"/>
          <w:marRight w:val="0"/>
          <w:marTop w:val="0"/>
          <w:marBottom w:val="0"/>
          <w:divBdr>
            <w:top w:val="none" w:sz="0" w:space="0" w:color="auto"/>
            <w:left w:val="none" w:sz="0" w:space="0" w:color="auto"/>
            <w:bottom w:val="none" w:sz="0" w:space="0" w:color="auto"/>
            <w:right w:val="none" w:sz="0" w:space="0" w:color="auto"/>
          </w:divBdr>
        </w:div>
      </w:divsChild>
    </w:div>
    <w:div w:id="2050883654">
      <w:bodyDiv w:val="1"/>
      <w:marLeft w:val="0"/>
      <w:marRight w:val="0"/>
      <w:marTop w:val="0"/>
      <w:marBottom w:val="0"/>
      <w:divBdr>
        <w:top w:val="none" w:sz="0" w:space="0" w:color="auto"/>
        <w:left w:val="none" w:sz="0" w:space="0" w:color="auto"/>
        <w:bottom w:val="none" w:sz="0" w:space="0" w:color="auto"/>
        <w:right w:val="none" w:sz="0" w:space="0" w:color="auto"/>
      </w:divBdr>
      <w:divsChild>
        <w:div w:id="351106753">
          <w:marLeft w:val="0"/>
          <w:marRight w:val="0"/>
          <w:marTop w:val="0"/>
          <w:marBottom w:val="0"/>
          <w:divBdr>
            <w:top w:val="none" w:sz="0" w:space="0" w:color="auto"/>
            <w:left w:val="none" w:sz="0" w:space="0" w:color="auto"/>
            <w:bottom w:val="none" w:sz="0" w:space="0" w:color="auto"/>
            <w:right w:val="none" w:sz="0" w:space="0" w:color="auto"/>
          </w:divBdr>
        </w:div>
        <w:div w:id="129132385">
          <w:marLeft w:val="0"/>
          <w:marRight w:val="0"/>
          <w:marTop w:val="0"/>
          <w:marBottom w:val="0"/>
          <w:divBdr>
            <w:top w:val="none" w:sz="0" w:space="0" w:color="auto"/>
            <w:left w:val="none" w:sz="0" w:space="0" w:color="auto"/>
            <w:bottom w:val="none" w:sz="0" w:space="0" w:color="auto"/>
            <w:right w:val="none" w:sz="0" w:space="0" w:color="auto"/>
          </w:divBdr>
        </w:div>
        <w:div w:id="745301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2725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JindrichP</dc:creator>
  <cp:lastModifiedBy>jirka@cannab2b.cz</cp:lastModifiedBy>
  <cp:revision>2</cp:revision>
  <cp:lastPrinted>2023-04-13T12:31:00Z</cp:lastPrinted>
  <dcterms:created xsi:type="dcterms:W3CDTF">2024-04-30T09:30:00Z</dcterms:created>
  <dcterms:modified xsi:type="dcterms:W3CDTF">2024-04-30T09:30:00Z</dcterms:modified>
</cp:coreProperties>
</file>